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539</w:t>
      </w:r>
    </w:p>
    <w:p>
      <w:r>
        <w:t>Bundesgericht (BGE), 2006-06-13, DE</w:t>
      </w:r>
    </w:p>
    <w:p>
      <w:r>
        <w:rPr>
          <w:b/>
        </w:rPr>
        <w:t xml:space="preserve">Quelle: </w:t>
      </w:r>
      <w:r>
        <w:t>https://mcp.opencaselaw.ch/entscheid/bge_132 III 539</w:t>
      </w:r>
    </w:p>
    <w:p>
      <w:r>
        <w:t>FR: ATF 132 III 539</w:t>
      </w:r>
    </w:p>
    <w:p>
      <w:r>
        <w:t>IT: DTF 132 III 539</w:t>
      </w:r>
    </w:p>
    <w:p>
      <w:pPr>
        <w:pStyle w:val="Heading2"/>
      </w:pPr>
      <w:r>
        <w:t>Regeste</w:t>
      </w:r>
    </w:p>
    <w:p>
      <w:r>
        <w:t>Regeste Grundstücksteigerung; Doppelaufruf; Überschuss; Legitimation zur Anfechtung der Verteilungsliste (Art. 86, 142 Abs. 3, 147 und 148 SchKG; Art. 812 Abs. 2 ZGB; Art. 116 Abs. 2 VZG). Der Streit über die Höhe der Entschädigung, die den Berechtigten durch die Löschung ihrer Last im Grundbuch wegen des Doppelaufrufs zusteht, ist im Kollokationsverfahren, also vor dem Richter und nicht vor der Aufsichtsbehörde auszutragen. Der Schuldner kann den Kollokationsplan und die Verteilungsliste einzig wegen Verletzung von Vorschriften des SchKG durch das Betreibungsamt mit Beschwerde anfechten. Die Abfindungen für die Berechtigten bzw. die Höhe eines allfälligen Überschusses zu seinen Gunsten kann der Schuldner nur mit der Rückforderungsklage infrage stellen (E. 3).</w:t>
      </w:r>
    </w:p>
    <w:p>
      <w:pPr>
        <w:pStyle w:val="Heading2"/>
      </w:pPr>
      <w:r>
        <w:t>Erwägungen</w:t>
      </w:r>
    </w:p>
    <w:p>
      <w:r>
        <w:rPr>
          <w:b/>
        </w:rPr>
        <w:t>E. 3</w:t>
      </w:r>
    </w:p>
    <w:p>
      <w:r>
        <w:t>Selbst bei einer formell unzureichenden Beschwerde, wie sie hier vorliegt, kann die erkennende Kammer eingreifen, wenn sie auf eine nichtige Verfügung ( Art. 22 SchKG ) tatsächlich aufmerksam wird ( BGE 94 III 65 E. 2 S. 68 und 71). Verfügungen, mit denen die Vollstreckungsbehörden offensichtlich ihre sachliche Zuständigkeit überschreiten, sind nichtig ( BGE 111 III 56 E. 3 S. 61). Unter diesen Umständen bleibt allein von Amtes wegen zu prüfen, ob über die Verteilung des Überschusses, der sich wegen des Doppelaufrufs bei der Grundstücksteigerung ergeben hatte, trotz des Verweises in Art. 116 Abs. 2 der Verordnung des Bundesgerichts vom 23. April 1920 über die Zwangsverwertung von Grundstücken (VZG; SR 281.42) auf die analoge Anwendung von Art. 147 und Art. 148 SchKG im Beschwerdeverfahren nach Art. 17 ff. SchKG entschieden werden durfte.</w:t>
      </w:r>
    </w:p>
    <w:p>
      <w:r>
        <w:rPr>
          <w:b/>
        </w:rPr>
        <w:t>E. 3.1</w:t>
      </w:r>
    </w:p>
    <w:p>
      <w:r>
        <w:t>Ist der betreibende Gläubiger aufgrund des Doppelaufrufs befriedigt worden und resultiert ein Überschuss, so ist dieser in erster BGE 132 III 539 S. 542 Linie bis zur Höhe des Wertes der Last zur Entschädigung des Berechtigten zu verwenden ( Art. 142 Abs. 3 SchKG ). Gemäss Art. 812 Abs. 3 ZGB hat der aus der Dienstbarkeit oder Grundlast Berechtigte gegenüber nachfolgenden Eingetragenen für den Wert der Belastung Anspruch auf vorgängige Befriedigung aus dem Erlös, wenn die Last bei der Pfandverwertung gemäss Art. 812 Abs. 2 ZGB gelöscht werden muss. Aus dem gesetzlichen Rangprinzip (Alterspriorität) folgt, dass der Berechtigte seine Befriedigung vor jedem später Eingetragenen (Pfandgläubiger, Dienstbarkeits- oder Grundlastberechtigten) erhält (HANS LEEMANN, Berner Kommentar, N. 32 zu Art. 812 ZGB , S. 776; BERNHARD TRAUFFER, Basler Kommentar, 2. Aufl. 2003, N. 23 zu Art. 812 ZGB , S. 1632). Bleibt noch ein Überrest, so kommt er den nachfolgenden Belastungen (z.B. späteren Grundpfandgläubigern) zugute oder fällt, wenn es keine solchen gibt, dem Grundeigentümer zu (TUOR/SCHNYDER/RUMO-JUNGO, Das Schweizerische Zivilgesetzbuch, 12. Aufl., S. 935; BERNHARD TRAUFFER, a.a.O.).</w:t>
      </w:r>
    </w:p>
    <w:p>
      <w:r>
        <w:rPr>
          <w:b/>
        </w:rPr>
        <w:t>E. 3.2</w:t>
      </w:r>
    </w:p>
    <w:p>
      <w:r>
        <w:t>Gemäss Art. 116 Abs. 2 VZG ist die Angabe des Wertes der Belastung in die Verteilungsliste aufzunehmen. Die Vorschriften der Art. 147 und 148 SchKG finden in Bezug auf diese Forderung entsprechende Anwendung. Der Rechtsstreit über die Höhe einer solchen Entschädigung ist im Kollokationsverfahren, also vor dem Richter und nicht vor der Aufsichtsbehörde auszutragen (FRITZSCHE/ WALDER, Schuldbetreibung und Konkurs nach schweizerischem Recht, Bd. I, N. 33 S. 449 mit Hinweis auf CARL JAEGER, Schuldbetreibung und Konkurs, 3. Aufl. 1911, Bd. I, N. 16 zu Art. 141 SchKG , gemäss welchem nur die zur Anfechtung des Kollokationsplans Legitimierten die geltend gemachte Forderung gerichtlich bestreiten können). Gemäss ständiger Rechtsprechung ( BGE 81 III 23 E. 1, bestätigt in BGE 114 III 60 E. 2b S. 62) kann nur der Gläubiger Klage auf Anfechtung des Kollokationsplans im Sinne von Art. 148 SchKG erheben, der die Kollokation eines andern beanstandet (ERNST BLUMENSTEIN, Handbuch des Schweizerischen Schuldbetreibungsrechtes, S. 495 mit Hinweis auf CARL JAEGER, N. 1 zu Art. 148 SchKG ; R. GÖSCHKE, Kollokationsplan und Kollokationsklage im schweizerischen Betreibungsrecht, Diss. Bern 1915, S. 240). Der Schuldner kann zwar den Kollokationsplan und die Verteilungsliste oder nur die Letztere durch Beschwerde anfechten, wenn er findet, dass das Betreibungsamt die Vorschriften des SchKG verletzt habe BGE 132 III 539 S. 543 (PIERRE-ROBERT GILLIÉRON, Commentaire de la loi fédérale sur la poursuite pour dettes et la faillite, N. 35 zu Art. 148 SchKG mit Hinweis auf BGE 81 III 23 E. 1 und 38 I 324 ff.; CARL JAEGER, a.a.O., N. 4 zu Art. 148 SchKG , S. 499), ist jedoch zu dieser - derjenigen gemäss Art. 147 f. SchKG nachgebildeten - Klage nicht legitimiert. Nicht Gegenstand des vorliegenden Beschwerdeverfahrens konnten nach dem Angeführten die Höhe der Abfindungssummen für die Dienstbarkeitsberechtigten sein. Die untere Aufsichtsbehörde hätte deshalb über die von der Schuldnerin aufgeworfenen Fragen nicht befinden dürfen. Denn aufgrund des in Art. 116 Abs. 2 VZG vorgegebenen Verfahrensablaufes wurde damit in die Kompetenz des Richters eingegriffen.</w:t>
      </w:r>
    </w:p>
    <w:p>
      <w:r>
        <w:rPr>
          <w:b/>
        </w:rPr>
        <w:t>E. 3.3</w:t>
      </w:r>
    </w:p>
    <w:p>
      <w:r>
        <w:t>Die Schuldnerin kann - wie in E. 3.2 hiervor ausgeführt - auf den Ausgang des Kollokationsprozesses, in welchem die Entschädigungen für die gelöschten Dienstbarkeiten zu bestimmen sind, keinen Einfluss nehmen. Falls sie der Auffassung sein sollte, die Abfindungen für die Berechtigten seien zu hoch bzw. der allfällig an sie fallende Überrest sei zu gering ausgefallen, so bliebe ihr nichts anderes übrig, als die Rückforderungsklage gemäss Art. 86 SchKG gegenüber den Gläubigern anzustrengen (VIKTOR URS FURRER, Die Kollokationsklagen nach schweizerischem Recht, Diss. Zürich 1978, S. 122/123). Die Rückforderungsklage ist auch dann zulässig, wenn der Gläubiger durch die Verwertung von Vermögensgegenständen des Schuldners durch das Zwangsvollstreckungsverfahren befriedigt worden ist, d.h. wenn es nicht um die Bezahlung einer Nichtschuld im Sinne von Art. 86 Abs. 1 SchKG geht ( BGE 131 III 586 E. 2.1; BGE 115 III 36 E. 2d; siehe dazu auch: KURT AMONN/FRIDOLIN WALTHER, Grundriss des Schuldbetreibungs- und Konkursrechts, 7. Aufl. 2003, N. 29, S. 142; JAEGER/WALDER/KULL/KOTTMANN, Bundesgesetz über Schuldbetreibung und Konkurs, 4. Aufl. 1997, Bd. I, N. 2 ff. zu Art. 86 SchKG , S. 404 ff.; BERNHARD BODMER, in: Kommentar zum Bundesgesetz über Schuldbetreibung und Konkurs, Hrsg. Staehelin/ Bauer/Staehelin, SchKG I, Basel 1998, N. 11 ff. zu Art. 86 SchKG ; anderer Meinung PIERRE-ROBERT GILLIÉRON, Poursuite pour dettes, faillite et concordat, 4. Aufl. 2005, N. 885 ff., S. 175). Das gälte auch hier für die eingangs erwähnten (potenziellen) Ansprüche seitens der Schuldnerin und Grundeigentümerin, wo es - wie erwähnt - nicht eigentlich um die Bezahlung einer Nichtschuld und BGE 132 III 539 S. 544 auch nicht um die Verwertung des Grundstücks an sich geht, sondern um einen aus Letzterer resultierenden Überschuss. Mit Bezug auf die Bedeutung von Art. 86 SchKG hat denn VITAL SCHWANDER (BlSchK 1943 S. 98 I./1.) zu Recht ausgeführt, die Rückforderung wegen ungerechtfertigter Bereicherung stelle eine Selbstkorrektur des Rechts gegen unbillige Härten dar und bedürfe deshalb einer Ausdehnung auf das gesamte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